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宋易珈</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四川省软科学项目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rPr>
                <w:rFonts w:hint="eastAsia"/>
                <w:sz w:val="24"/>
                <w:szCs w:val="24"/>
              </w:rPr>
              <w:t>双循环战略新格局下自由贸易实验区的枢纽地位与发展路径研究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rFonts w:hint="eastAsia"/>
                <w:sz w:val="24"/>
                <w:szCs w:val="24"/>
              </w:rPr>
              <w:t>2021JDR0271</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制度与经济发展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spacing w:line="440" w:lineRule="exact"/>
              <w:ind w:firstLine="480" w:firstLineChars="200"/>
              <w:rPr>
                <w:sz w:val="24"/>
                <w:szCs w:val="24"/>
              </w:rPr>
            </w:pPr>
            <w:r>
              <w:rPr>
                <w:rFonts w:hint="eastAsia" w:ascii="宋体" w:hAnsi="宋体"/>
                <w:sz w:val="24"/>
                <w:szCs w:val="24"/>
              </w:rPr>
              <w:t>双循环格局下，能源安全是经济安全的重要保证，课题组基于中国微观企业能源数据库，对企业能源利用效率进行评估与异质性分析。同时探讨地方财政压力对中国企业能源效率的影响与作用机制，探寻借助地方政府的“有形之手”提升企业能源效率的可行之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sz w:val="24"/>
                <w:szCs w:val="24"/>
              </w:rPr>
              <w:t>地方财政压力与中国企业能源利用效率</w:t>
            </w:r>
          </w:p>
          <w:p>
            <w:pPr>
              <w:jc w:val="right"/>
              <w:rPr>
                <w:sz w:val="24"/>
                <w:szCs w:val="24"/>
              </w:rPr>
            </w:pPr>
            <w:r>
              <w:rPr>
                <w:sz w:val="24"/>
                <w:szCs w:val="24"/>
              </w:rPr>
              <w:t>———基于所得税分享改革的准自然实验分析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spacing w:line="440" w:lineRule="exact"/>
              <w:rPr>
                <w:rFonts w:ascii="宋体" w:hAnsi="宋体"/>
                <w:sz w:val="24"/>
                <w:szCs w:val="24"/>
              </w:rPr>
            </w:pPr>
            <w:r>
              <w:rPr>
                <w:rFonts w:ascii="宋体" w:hAnsi="宋体"/>
                <w:sz w:val="24"/>
                <w:szCs w:val="24"/>
              </w:rPr>
              <w:t>1. 有扎实的经济学、管理学知识基础；</w:t>
            </w:r>
          </w:p>
          <w:p>
            <w:pPr>
              <w:spacing w:line="440" w:lineRule="exact"/>
              <w:rPr>
                <w:rFonts w:ascii="宋体" w:hAnsi="宋体"/>
                <w:sz w:val="24"/>
                <w:szCs w:val="24"/>
              </w:rPr>
            </w:pPr>
            <w:r>
              <w:rPr>
                <w:rFonts w:ascii="宋体" w:hAnsi="宋体"/>
                <w:sz w:val="24"/>
                <w:szCs w:val="24"/>
              </w:rPr>
              <w:t>2. 具有良好外语水平，能够熟练阅读英文文献；</w:t>
            </w:r>
          </w:p>
          <w:p>
            <w:pPr>
              <w:spacing w:line="440" w:lineRule="exact"/>
              <w:rPr>
                <w:rFonts w:ascii="宋体" w:hAnsi="宋体"/>
                <w:sz w:val="24"/>
                <w:szCs w:val="24"/>
              </w:rPr>
            </w:pPr>
            <w:r>
              <w:rPr>
                <w:rFonts w:ascii="宋体" w:hAnsi="宋体"/>
                <w:sz w:val="24"/>
                <w:szCs w:val="24"/>
              </w:rPr>
              <w:t>3. 有一定的文字功底</w:t>
            </w:r>
            <w:r>
              <w:rPr>
                <w:rFonts w:hint="eastAsia" w:ascii="宋体" w:hAnsi="宋体"/>
                <w:sz w:val="24"/>
                <w:szCs w:val="24"/>
              </w:rPr>
              <w:t>、表达能力；</w:t>
            </w:r>
          </w:p>
          <w:p>
            <w:pPr>
              <w:spacing w:line="440" w:lineRule="exact"/>
              <w:rPr>
                <w:rFonts w:ascii="宋体" w:hAnsi="宋体"/>
                <w:sz w:val="24"/>
                <w:szCs w:val="24"/>
              </w:rPr>
            </w:pPr>
            <w:r>
              <w:rPr>
                <w:rFonts w:ascii="宋体" w:hAnsi="宋体"/>
                <w:sz w:val="24"/>
                <w:szCs w:val="24"/>
              </w:rPr>
              <w:t>4. 善于团队合作，具有良好的组织协调能力；</w:t>
            </w:r>
          </w:p>
          <w:p>
            <w:pPr>
              <w:spacing w:line="440" w:lineRule="exact"/>
              <w:rPr>
                <w:sz w:val="24"/>
                <w:szCs w:val="24"/>
              </w:rPr>
            </w:pPr>
            <w:r>
              <w:rPr>
                <w:rFonts w:ascii="宋体" w:hAnsi="宋体"/>
                <w:sz w:val="24"/>
                <w:szCs w:val="24"/>
              </w:rPr>
              <w:t>5. 有一定科研经历或熟练掌握统计分析软件者优先。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spacing w:line="440" w:lineRule="exact"/>
              <w:ind w:firstLine="480"/>
              <w:rPr>
                <w:rFonts w:ascii="宋体" w:hAnsi="宋体"/>
                <w:sz w:val="24"/>
                <w:szCs w:val="24"/>
              </w:rPr>
            </w:pPr>
            <w:r>
              <w:rPr>
                <w:rFonts w:hint="eastAsia" w:ascii="宋体" w:hAnsi="宋体"/>
                <w:sz w:val="24"/>
                <w:szCs w:val="24"/>
              </w:rPr>
              <w:t>研究背景：我国资源储备方面呈现“富煤、贫油、少气”的格局，能源消费结构与能源利用效率是影响我国能源安全的重要因素。由于缺乏微观企业能源数据，对中国能源利用效率的认知一直只能停留在地区加总层面，难以从企业微观机制评估中国企业能源利用效率以及探究其影响因素与作用机制。</w:t>
            </w:r>
          </w:p>
          <w:p>
            <w:pPr>
              <w:spacing w:line="440" w:lineRule="exact"/>
              <w:ind w:firstLine="480"/>
              <w:rPr>
                <w:rFonts w:ascii="宋体" w:hAnsi="宋体"/>
                <w:sz w:val="24"/>
                <w:szCs w:val="24"/>
              </w:rPr>
            </w:pPr>
            <w:r>
              <w:rPr>
                <w:rFonts w:hint="eastAsia" w:ascii="宋体" w:hAnsi="宋体"/>
                <w:sz w:val="24"/>
                <w:szCs w:val="24"/>
              </w:rPr>
              <w:t>自分税制实施以来，中央和地方关系呈现为“财权上收，事权下放”的特征，财税资源自下而上逐级向上集中。然而中央与地方事权和支出责任的划分却仍旧沿袭财政包干体制下的做法，导致政府间财力与支出责任不匹配带来的矛盾日益突出。这种财政压力会对政府的行为产生多方面的影响，那么这种财政压力是否对企业的能源利用效率也带来影响，政府是否会为了扩大税基放松对现有企业的环境管制，引入产能过剩的企业，从而对企业能源利用效率产生影响需要进一步的实证研究进行检验。</w:t>
            </w:r>
          </w:p>
          <w:p>
            <w:pPr>
              <w:spacing w:line="440" w:lineRule="exact"/>
              <w:ind w:firstLine="480" w:firstLineChars="200"/>
              <w:rPr>
                <w:rFonts w:ascii="宋体" w:hAnsi="宋体"/>
                <w:sz w:val="24"/>
                <w:szCs w:val="24"/>
              </w:rPr>
            </w:pPr>
            <w:r>
              <w:rPr>
                <w:rFonts w:hint="eastAsia" w:ascii="宋体" w:hAnsi="宋体"/>
                <w:sz w:val="24"/>
                <w:szCs w:val="24"/>
              </w:rPr>
              <w:t>研究内容：课题组将采用基于方向距离函数的DEA方法，对中国微观企业进行能源利用效率测算，探讨企业层面能源利用效率的异质性与影响因素。并</w:t>
            </w:r>
            <w:r>
              <w:rPr>
                <w:rFonts w:ascii="宋体" w:hAnsi="宋体"/>
                <w:sz w:val="24"/>
                <w:szCs w:val="24"/>
              </w:rPr>
              <w:t>借助2002年所得税分享改革捕捉地级市层面财政压力的外生变化，采用强度双重差分方法实证考察地方财政压力对</w:t>
            </w:r>
            <w:r>
              <w:rPr>
                <w:rFonts w:hint="eastAsia" w:ascii="宋体" w:hAnsi="宋体"/>
                <w:sz w:val="24"/>
                <w:szCs w:val="24"/>
              </w:rPr>
              <w:t>中国企业能源利用效率的影响、作用机制以及政策研究</w:t>
            </w:r>
            <w:r>
              <w:rPr>
                <w:rFonts w:ascii="宋体" w:hAnsi="宋体"/>
                <w:sz w:val="24"/>
                <w:szCs w:val="24"/>
              </w:rPr>
              <w:t>。</w:t>
            </w:r>
          </w:p>
          <w:p>
            <w:pPr>
              <w:spacing w:line="440" w:lineRule="exact"/>
              <w:ind w:firstLine="480" w:firstLineChars="200"/>
              <w:rPr>
                <w:rFonts w:ascii="宋体" w:hAnsi="宋体"/>
                <w:sz w:val="24"/>
                <w:szCs w:val="24"/>
              </w:rPr>
            </w:pPr>
            <w:r>
              <w:rPr>
                <w:rFonts w:hint="eastAsia" w:ascii="宋体" w:hAnsi="宋体"/>
                <w:sz w:val="24"/>
                <w:szCs w:val="24"/>
              </w:rPr>
              <w:t>实施过程:</w:t>
            </w:r>
            <w:r>
              <w:rPr>
                <w:rFonts w:ascii="宋体" w:hAnsi="宋体"/>
                <w:sz w:val="24"/>
                <w:szCs w:val="24"/>
              </w:rPr>
              <w:t>本项目的实施过程围绕研究内容展开</w:t>
            </w:r>
            <w:r>
              <w:rPr>
                <w:rFonts w:hint="eastAsia" w:ascii="宋体" w:hAnsi="宋体"/>
                <w:sz w:val="24"/>
                <w:szCs w:val="24"/>
              </w:rPr>
              <w:t>，从文献梳理、理论构建、数据清理，实证分析以及对策建议五个部分不断深入开展。其一，课题组将对财政压力及能源效率两个方面文献展开深入分析，对我国财政制度演变有初步了解，并对能源效率的影响因素与测度方式从文献角度进行全面梳理；其二，课题组将从已有文献中进一步总结能源效率的测算方法和财政压力的识别策略，确定符合本课题的变量构建方法，并构建理论模型与假设；其三，课题组将基于能源数据库、工业企业数据库和《全国地市县财政统计资料》，从企业层面计算企业的能源效率，从地区层面评估地区财政压力；其四，课题组将根据测算出的企业能源效率和地区财政压力，结合理论模型设定进一步构建计量模型，对理论假设进行检验，并探索财政压力对能源效率的影响机制，其五，课题组将根据研究所得到的理论与经验证据，结合我国财政制度实际情况，为政府如何通过“有形之手”提高企业能源效率提出对策建议。</w:t>
            </w:r>
          </w:p>
          <w:p>
            <w:pPr>
              <w:spacing w:line="440" w:lineRule="exact"/>
              <w:ind w:firstLine="480" w:firstLineChars="200"/>
              <w:rPr>
                <w:rFonts w:ascii="宋体" w:hAnsi="宋体"/>
                <w:sz w:val="24"/>
                <w:szCs w:val="24"/>
              </w:rPr>
            </w:pPr>
            <w:r>
              <w:rPr>
                <w:rFonts w:hint="eastAsia" w:ascii="宋体" w:hAnsi="宋体"/>
                <w:sz w:val="24"/>
                <w:szCs w:val="24"/>
              </w:rPr>
              <w:t>成效要求：</w:t>
            </w:r>
            <w:r>
              <w:rPr>
                <w:rFonts w:ascii="宋体" w:hAnsi="宋体"/>
                <w:sz w:val="24"/>
                <w:szCs w:val="24"/>
              </w:rPr>
              <w:t>本项目最终成果将以学术论文形式呈现，深入分析</w:t>
            </w:r>
            <w:r>
              <w:rPr>
                <w:rFonts w:hint="eastAsia" w:ascii="宋体" w:hAnsi="宋体"/>
                <w:sz w:val="24"/>
                <w:szCs w:val="24"/>
              </w:rPr>
              <w:t>地方财政压力对于企业能源效率的影响与作用机制，结合我国当前财政制度实际，</w:t>
            </w:r>
            <w:r>
              <w:rPr>
                <w:rFonts w:ascii="宋体" w:hAnsi="宋体"/>
                <w:sz w:val="24"/>
                <w:szCs w:val="24"/>
              </w:rPr>
              <w:t>为我国</w:t>
            </w:r>
            <w:r>
              <w:rPr>
                <w:rFonts w:hint="eastAsia" w:ascii="宋体" w:hAnsi="宋体"/>
                <w:sz w:val="24"/>
                <w:szCs w:val="24"/>
              </w:rPr>
              <w:t>政府通过“有形之手”提高企业能源效率的事实方略</w:t>
            </w:r>
            <w:r>
              <w:rPr>
                <w:rFonts w:ascii="宋体" w:hAnsi="宋体"/>
                <w:sz w:val="24"/>
                <w:szCs w:val="24"/>
              </w:rPr>
              <w:t>提出建议。</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SJ0+ZHGGU4-3">
    <w:altName w:val="Cambria"/>
    <w:panose1 w:val="00000000000000000000"/>
    <w:charset w:val="00"/>
    <w:family w:val="roman"/>
    <w:pitch w:val="default"/>
    <w:sig w:usb0="00000000" w:usb1="00000000" w:usb2="00000000" w:usb3="00000000" w:csb0="00000000" w:csb1="00000000"/>
  </w:font>
  <w:font w:name="E-BZ+ZHGGU4-1">
    <w:altName w:val="Cambria"/>
    <w:panose1 w:val="00000000000000000000"/>
    <w:charset w:val="00"/>
    <w:family w:val="roman"/>
    <w:pitch w:val="default"/>
    <w:sig w:usb0="00000000" w:usb1="00000000" w:usb2="00000000" w:usb3="00000000" w:csb0="00000000" w:csb1="00000000"/>
  </w:font>
  <w:font w:name="SSJ0+ZHGGU4-5">
    <w:altName w:val="Segoe Print"/>
    <w:panose1 w:val="00000000000000000000"/>
    <w:charset w:val="00"/>
    <w:family w:val="roman"/>
    <w:pitch w:val="default"/>
    <w:sig w:usb0="00000000" w:usb1="00000000" w:usb2="00000000" w:usb3="00000000" w:csb0="00000000"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B08AE"/>
    <w:rsid w:val="000C638A"/>
    <w:rsid w:val="0013782D"/>
    <w:rsid w:val="0016709A"/>
    <w:rsid w:val="002A2FDE"/>
    <w:rsid w:val="002C0036"/>
    <w:rsid w:val="003332B5"/>
    <w:rsid w:val="003540DD"/>
    <w:rsid w:val="003C668B"/>
    <w:rsid w:val="004D44C2"/>
    <w:rsid w:val="005A6943"/>
    <w:rsid w:val="005D7571"/>
    <w:rsid w:val="005E6263"/>
    <w:rsid w:val="00767104"/>
    <w:rsid w:val="00843236"/>
    <w:rsid w:val="008562E5"/>
    <w:rsid w:val="008904C5"/>
    <w:rsid w:val="008F65F8"/>
    <w:rsid w:val="009C51E3"/>
    <w:rsid w:val="00B60FBA"/>
    <w:rsid w:val="00B844D2"/>
    <w:rsid w:val="00BF0494"/>
    <w:rsid w:val="00C259CE"/>
    <w:rsid w:val="00CC6EC0"/>
    <w:rsid w:val="00DB67DB"/>
    <w:rsid w:val="00DD60DF"/>
    <w:rsid w:val="00E979D2"/>
    <w:rsid w:val="00EC22FE"/>
    <w:rsid w:val="00FA3C77"/>
    <w:rsid w:val="01ED206F"/>
    <w:rsid w:val="06825E37"/>
    <w:rsid w:val="0D0C1773"/>
    <w:rsid w:val="0E6B4B00"/>
    <w:rsid w:val="16960943"/>
    <w:rsid w:val="22F3444D"/>
    <w:rsid w:val="319262CF"/>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kern w:val="2"/>
      <w:sz w:val="18"/>
      <w:szCs w:val="18"/>
    </w:rPr>
  </w:style>
  <w:style w:type="character" w:customStyle="1" w:styleId="8">
    <w:name w:val="页脚 字符"/>
    <w:basedOn w:val="6"/>
    <w:link w:val="2"/>
    <w:uiPriority w:val="99"/>
    <w:rPr>
      <w:kern w:val="2"/>
      <w:sz w:val="18"/>
      <w:szCs w:val="18"/>
    </w:rPr>
  </w:style>
  <w:style w:type="character" w:customStyle="1" w:styleId="9">
    <w:name w:val="fontstyle01"/>
    <w:basedOn w:val="6"/>
    <w:uiPriority w:val="0"/>
    <w:rPr>
      <w:rFonts w:hint="default" w:ascii="SSJ0+ZHGGU4-3" w:hAnsi="SSJ0+ZHGGU4-3"/>
      <w:color w:val="000000"/>
      <w:sz w:val="28"/>
      <w:szCs w:val="28"/>
    </w:rPr>
  </w:style>
  <w:style w:type="character" w:customStyle="1" w:styleId="10">
    <w:name w:val="fontstyle11"/>
    <w:basedOn w:val="6"/>
    <w:uiPriority w:val="0"/>
    <w:rPr>
      <w:rFonts w:hint="eastAsia" w:ascii="宋体" w:hAnsi="宋体" w:eastAsia="宋体"/>
      <w:color w:val="000000"/>
      <w:sz w:val="28"/>
      <w:szCs w:val="28"/>
    </w:rPr>
  </w:style>
  <w:style w:type="character" w:customStyle="1" w:styleId="11">
    <w:name w:val="fontstyle21"/>
    <w:basedOn w:val="6"/>
    <w:uiPriority w:val="0"/>
    <w:rPr>
      <w:rFonts w:hint="default" w:ascii="E-BZ+ZHGGU4-1" w:hAnsi="E-BZ+ZHGGU4-1"/>
      <w:color w:val="000000"/>
      <w:sz w:val="22"/>
      <w:szCs w:val="22"/>
    </w:rPr>
  </w:style>
  <w:style w:type="character" w:customStyle="1" w:styleId="12">
    <w:name w:val="fontstyle31"/>
    <w:basedOn w:val="6"/>
    <w:uiPriority w:val="0"/>
    <w:rPr>
      <w:rFonts w:hint="default" w:ascii="SSJ0+ZHGGU4-5" w:hAnsi="SSJ0+ZHGGU4-5"/>
      <w:color w:val="00000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3</Pages>
  <Words>227</Words>
  <Characters>1295</Characters>
  <Lines>10</Lines>
  <Paragraphs>3</Paragraphs>
  <TotalTime>197</TotalTime>
  <ScaleCrop>false</ScaleCrop>
  <LinksUpToDate>false</LinksUpToDate>
  <CharactersWithSpaces>1519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2021-03-26T06:55:57Z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